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6D15" w14:textId="10591298" w:rsidR="004F4B0B" w:rsidRPr="00436221" w:rsidRDefault="009C7C4E" w:rsidP="002B6DC8">
      <w:pPr>
        <w:rPr>
          <w:rFonts w:ascii="ＭＳ ゴシック" w:eastAsia="ＭＳ ゴシック" w:hAnsi="ＭＳ ゴシック"/>
          <w:sz w:val="22"/>
        </w:rPr>
      </w:pPr>
      <w:r w:rsidRPr="00436221">
        <w:rPr>
          <w:rFonts w:ascii="ＭＳ ゴシック" w:eastAsia="ＭＳ ゴシック" w:hAnsi="ＭＳ ゴシック" w:hint="eastAsia"/>
          <w:noProof/>
          <w:sz w:val="22"/>
          <w14:ligatures w14:val="none"/>
        </w:rPr>
        <mc:AlternateContent>
          <mc:Choice Requires="wpi">
            <w:drawing>
              <wp:anchor distT="0" distB="0" distL="114300" distR="114300" simplePos="0" relativeHeight="251664384" behindDoc="0" locked="0" layoutInCell="1" allowOverlap="1" wp14:anchorId="442B1182" wp14:editId="23069E1E">
                <wp:simplePos x="0" y="0"/>
                <wp:positionH relativeFrom="column">
                  <wp:posOffset>-1263240</wp:posOffset>
                </wp:positionH>
                <wp:positionV relativeFrom="paragraph">
                  <wp:posOffset>-539175</wp:posOffset>
                </wp:positionV>
                <wp:extent cx="360" cy="360"/>
                <wp:effectExtent l="57150" t="57150" r="57150" b="76200"/>
                <wp:wrapNone/>
                <wp:docPr id="1191376651" name="インク 1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EEF5F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1" o:spid="_x0000_s1026" type="#_x0000_t75" style="position:absolute;left:0;text-align:left;margin-left:-100.85pt;margin-top:-43.85pt;width:2.9pt;height:2.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">
                <v:imagedata r:id="rId7" o:title=""/>
              </v:shape>
            </w:pict>
          </mc:Fallback>
        </mc:AlternateContent>
      </w:r>
      <w:r w:rsidR="004F4B0B" w:rsidRPr="00436221">
        <w:rPr>
          <w:rFonts w:ascii="ＭＳ ゴシック" w:eastAsia="ＭＳ ゴシック" w:hAnsi="ＭＳ ゴシック" w:hint="eastAsia"/>
          <w:sz w:val="22"/>
        </w:rPr>
        <w:t>沖縄の女性たちの声</w:t>
      </w:r>
    </w:p>
    <w:p w14:paraId="57099096" w14:textId="134D3D5E" w:rsidR="004F4B0B" w:rsidRPr="00436221" w:rsidRDefault="004F4B0B" w:rsidP="002B6DC8">
      <w:pPr>
        <w:rPr>
          <w:rFonts w:ascii="ＭＳ ゴシック" w:eastAsia="ＭＳ ゴシック" w:hAnsi="ＭＳ ゴシック"/>
          <w:sz w:val="22"/>
        </w:rPr>
      </w:pPr>
      <w:r w:rsidRPr="00436221">
        <w:rPr>
          <w:rFonts w:ascii="ＭＳ ゴシック" w:eastAsia="ＭＳ ゴシック" w:hAnsi="ＭＳ ゴシック" w:hint="eastAsia"/>
          <w:sz w:val="22"/>
        </w:rPr>
        <w:t>裁かれない米兵の性暴力、守れない女性</w:t>
      </w:r>
      <w:r w:rsidR="003856E0" w:rsidRPr="00436221">
        <w:rPr>
          <w:rFonts w:ascii="ＭＳ ゴシック" w:eastAsia="ＭＳ ゴシック" w:hAnsi="ＭＳ ゴシック" w:hint="eastAsia"/>
          <w:sz w:val="22"/>
        </w:rPr>
        <w:t>と住民の人権</w:t>
      </w:r>
    </w:p>
    <w:p w14:paraId="2155268C" w14:textId="77777777" w:rsidR="00436221" w:rsidRDefault="00436221" w:rsidP="002B6DC8">
      <w:pPr>
        <w:rPr>
          <w:rFonts w:ascii="ＭＳ ゴシック" w:eastAsia="ＭＳ ゴシック" w:hAnsi="ＭＳ ゴシック"/>
          <w:sz w:val="22"/>
        </w:rPr>
      </w:pPr>
    </w:p>
    <w:p w14:paraId="4C6B1970" w14:textId="3E8C2430" w:rsidR="002B6DC8" w:rsidRPr="00436221" w:rsidRDefault="009F6602" w:rsidP="002B6DC8">
      <w:pPr>
        <w:rPr>
          <w:rFonts w:ascii="ＭＳ ゴシック" w:eastAsia="ＭＳ ゴシック" w:hAnsi="ＭＳ ゴシック"/>
          <w:sz w:val="22"/>
        </w:rPr>
      </w:pPr>
      <w:r w:rsidRPr="00436221">
        <w:rPr>
          <w:rFonts w:ascii="ＭＳ ゴシック" w:eastAsia="ＭＳ ゴシック" w:hAnsi="ＭＳ ゴシック" w:hint="eastAsia"/>
          <w:sz w:val="22"/>
        </w:rPr>
        <w:t>米軍基地が集中する沖縄</w:t>
      </w:r>
    </w:p>
    <w:p w14:paraId="0AB6C91B" w14:textId="18E16202" w:rsidR="00083937" w:rsidRPr="00436221" w:rsidRDefault="002B6DC8" w:rsidP="00083937">
      <w:pPr>
        <w:ind w:firstLineChars="100" w:firstLine="220"/>
        <w:rPr>
          <w:rFonts w:ascii="Century" w:eastAsia="ＭＳ 明朝" w:hAnsi="Century"/>
          <w:sz w:val="22"/>
        </w:rPr>
      </w:pPr>
      <w:r w:rsidRPr="00436221">
        <w:rPr>
          <w:rFonts w:ascii="Century" w:eastAsia="ＭＳ 明朝" w:hAnsi="Century"/>
          <w:sz w:val="22"/>
        </w:rPr>
        <w:t>1945</w:t>
      </w:r>
      <w:r w:rsidRPr="00436221">
        <w:rPr>
          <w:rFonts w:ascii="Century" w:eastAsia="ＭＳ 明朝" w:hAnsi="Century"/>
          <w:sz w:val="22"/>
        </w:rPr>
        <w:t>年の終戦以降</w:t>
      </w:r>
      <w:r w:rsidRPr="00436221">
        <w:rPr>
          <w:rFonts w:ascii="Century" w:eastAsia="ＭＳ 明朝" w:hAnsi="Century"/>
          <w:sz w:val="22"/>
        </w:rPr>
        <w:t>27</w:t>
      </w:r>
      <w:r w:rsidRPr="00436221">
        <w:rPr>
          <w:rFonts w:ascii="Century" w:eastAsia="ＭＳ 明朝" w:hAnsi="Century"/>
          <w:sz w:val="22"/>
        </w:rPr>
        <w:t>年に及ぶ米軍統治下で、米軍は国際法に違反し住民の土地を収奪し基地を拡張しました。占領軍として傍若無人の振る舞いに、沖縄の人権は蹂躙され続け、農作業中の住民を動物と間違</w:t>
      </w:r>
      <w:r w:rsidR="005228C5" w:rsidRPr="00436221">
        <w:rPr>
          <w:rFonts w:ascii="Century" w:eastAsia="ＭＳ 明朝" w:hAnsi="Century" w:hint="eastAsia"/>
          <w:sz w:val="22"/>
        </w:rPr>
        <w:t>って</w:t>
      </w:r>
      <w:r w:rsidRPr="00436221">
        <w:rPr>
          <w:rFonts w:ascii="Century" w:eastAsia="ＭＳ 明朝" w:hAnsi="Century"/>
          <w:sz w:val="22"/>
        </w:rPr>
        <w:t>射殺しても、幼女を強</w:t>
      </w:r>
      <w:r w:rsidR="000C2F80">
        <w:rPr>
          <w:rFonts w:ascii="Century" w:eastAsia="ＭＳ 明朝" w:hAnsi="Century" w:hint="eastAsia"/>
          <w:sz w:val="22"/>
        </w:rPr>
        <w:t>かん</w:t>
      </w:r>
      <w:r w:rsidRPr="00436221">
        <w:rPr>
          <w:rFonts w:ascii="Century" w:eastAsia="ＭＳ 明朝" w:hAnsi="Century"/>
          <w:sz w:val="22"/>
        </w:rPr>
        <w:t>死させても、公正に裁かれることはありませんでした</w:t>
      </w:r>
      <w:r w:rsidR="00083937" w:rsidRPr="00436221">
        <w:rPr>
          <w:rFonts w:ascii="Century" w:eastAsia="ＭＳ 明朝" w:hAnsi="Century" w:hint="eastAsia"/>
          <w:sz w:val="22"/>
        </w:rPr>
        <w:t>。</w:t>
      </w:r>
    </w:p>
    <w:p w14:paraId="4117FF54" w14:textId="10B109BE" w:rsidR="00083937" w:rsidRPr="00436221" w:rsidRDefault="002B6DC8" w:rsidP="00083937">
      <w:pPr>
        <w:ind w:firstLineChars="100" w:firstLine="220"/>
        <w:rPr>
          <w:rFonts w:ascii="Century" w:eastAsia="ＭＳ 明朝" w:hAnsi="Century"/>
          <w:sz w:val="22"/>
        </w:rPr>
      </w:pPr>
      <w:r w:rsidRPr="00436221">
        <w:rPr>
          <w:rFonts w:ascii="Century" w:eastAsia="ＭＳ 明朝" w:hAnsi="Century"/>
          <w:sz w:val="22"/>
        </w:rPr>
        <w:t>その怒りが沸騰し、</w:t>
      </w:r>
      <w:r w:rsidRPr="00436221">
        <w:rPr>
          <w:rFonts w:ascii="Century" w:eastAsia="ＭＳ 明朝" w:hAnsi="Century"/>
          <w:sz w:val="22"/>
        </w:rPr>
        <w:t>1972</w:t>
      </w:r>
      <w:r w:rsidRPr="00436221">
        <w:rPr>
          <w:rFonts w:ascii="Century" w:eastAsia="ＭＳ 明朝" w:hAnsi="Century"/>
          <w:sz w:val="22"/>
        </w:rPr>
        <w:t>年奇跡といわれた日本復帰を果たしましたが、米軍基地はそのまま残り続け</w:t>
      </w:r>
      <w:r w:rsidR="00083937" w:rsidRPr="00436221">
        <w:rPr>
          <w:rFonts w:ascii="Century" w:eastAsia="ＭＳ 明朝" w:hAnsi="Century" w:hint="eastAsia"/>
          <w:sz w:val="22"/>
        </w:rPr>
        <w:t>、</w:t>
      </w:r>
      <w:r w:rsidRPr="00436221">
        <w:rPr>
          <w:rFonts w:ascii="Century" w:eastAsia="ＭＳ 明朝" w:hAnsi="Century"/>
          <w:sz w:val="22"/>
        </w:rPr>
        <w:t>今も</w:t>
      </w:r>
      <w:r w:rsidR="00083937" w:rsidRPr="00436221">
        <w:rPr>
          <w:rFonts w:ascii="Century" w:eastAsia="ＭＳ 明朝" w:hAnsi="Century" w:hint="eastAsia"/>
          <w:sz w:val="22"/>
        </w:rPr>
        <w:t>日本にある基地の</w:t>
      </w:r>
      <w:r w:rsidRPr="00436221">
        <w:rPr>
          <w:rFonts w:ascii="Century" w:eastAsia="ＭＳ 明朝" w:hAnsi="Century"/>
          <w:sz w:val="22"/>
        </w:rPr>
        <w:t>7</w:t>
      </w:r>
      <w:r w:rsidRPr="00436221">
        <w:rPr>
          <w:rFonts w:ascii="Century" w:eastAsia="ＭＳ 明朝" w:hAnsi="Century"/>
          <w:sz w:val="22"/>
        </w:rPr>
        <w:t>割が沖縄に集中しています。復帰後も日米地位協定で米軍の優位な地位は守られ、米軍による</w:t>
      </w:r>
      <w:r w:rsidR="005228C5" w:rsidRPr="00436221">
        <w:rPr>
          <w:rFonts w:ascii="Century" w:eastAsia="ＭＳ 明朝" w:hAnsi="Century" w:hint="eastAsia"/>
          <w:sz w:val="22"/>
        </w:rPr>
        <w:t>人権侵害の</w:t>
      </w:r>
      <w:r w:rsidRPr="00436221">
        <w:rPr>
          <w:rFonts w:ascii="Century" w:eastAsia="ＭＳ 明朝" w:hAnsi="Century"/>
          <w:sz w:val="22"/>
        </w:rPr>
        <w:t>事件事故は後を絶ちません。</w:t>
      </w:r>
      <w:r w:rsidR="00D05EEA" w:rsidRPr="00436221">
        <w:rPr>
          <w:rFonts w:ascii="Century" w:eastAsia="ＭＳ 明朝" w:hAnsi="Century" w:hint="eastAsia"/>
          <w:sz w:val="22"/>
        </w:rPr>
        <w:t>沖縄の女性団体がまとめている米兵の性犯罪年表では、</w:t>
      </w:r>
      <w:r w:rsidR="00D05EEA" w:rsidRPr="00436221">
        <w:rPr>
          <w:rFonts w:ascii="Century" w:eastAsia="ＭＳ 明朝" w:hAnsi="Century" w:hint="eastAsia"/>
          <w:sz w:val="22"/>
        </w:rPr>
        <w:t>1945</w:t>
      </w:r>
      <w:r w:rsidR="00D05EEA" w:rsidRPr="00436221">
        <w:rPr>
          <w:rFonts w:ascii="Century" w:eastAsia="ＭＳ 明朝" w:hAnsi="Century" w:hint="eastAsia"/>
          <w:sz w:val="22"/>
        </w:rPr>
        <w:t>年以降の被害者は</w:t>
      </w:r>
      <w:r w:rsidR="00D05EEA" w:rsidRPr="00436221">
        <w:rPr>
          <w:rFonts w:ascii="Century" w:eastAsia="ＭＳ 明朝" w:hAnsi="Century" w:hint="eastAsia"/>
          <w:sz w:val="22"/>
        </w:rPr>
        <w:t>948</w:t>
      </w:r>
      <w:r w:rsidR="00D05EEA" w:rsidRPr="00436221">
        <w:rPr>
          <w:rFonts w:ascii="Century" w:eastAsia="ＭＳ 明朝" w:hAnsi="Century" w:hint="eastAsia"/>
          <w:sz w:val="22"/>
        </w:rPr>
        <w:t>人を超えています。</w:t>
      </w:r>
    </w:p>
    <w:p w14:paraId="74976844" w14:textId="77777777" w:rsidR="009F6602" w:rsidRPr="00436221" w:rsidRDefault="009F6602" w:rsidP="009F6602">
      <w:pPr>
        <w:rPr>
          <w:rFonts w:ascii="Century" w:eastAsia="ＭＳ 明朝" w:hAnsi="Century"/>
          <w:sz w:val="22"/>
        </w:rPr>
      </w:pPr>
    </w:p>
    <w:p w14:paraId="4A627C46" w14:textId="073340BE" w:rsidR="009F6602" w:rsidRPr="00436221" w:rsidRDefault="009F6602" w:rsidP="009F6602">
      <w:pPr>
        <w:rPr>
          <w:rFonts w:ascii="ＭＳ ゴシック" w:eastAsia="ＭＳ ゴシック" w:hAnsi="ＭＳ ゴシック"/>
          <w:sz w:val="22"/>
        </w:rPr>
      </w:pPr>
      <w:r w:rsidRPr="00436221">
        <w:rPr>
          <w:rFonts w:ascii="ＭＳ ゴシック" w:eastAsia="ＭＳ ゴシック" w:hAnsi="ＭＳ ゴシック" w:hint="eastAsia"/>
          <w:sz w:val="22"/>
        </w:rPr>
        <w:t>性犯罪の隠蔽</w:t>
      </w:r>
    </w:p>
    <w:p w14:paraId="24F7F773" w14:textId="25FB9DE5" w:rsidR="00083937" w:rsidRPr="00436221" w:rsidRDefault="00083937" w:rsidP="00083937">
      <w:pPr>
        <w:ind w:firstLineChars="100" w:firstLine="220"/>
        <w:rPr>
          <w:rFonts w:ascii="Century" w:eastAsia="ＭＳ 明朝" w:hAnsi="Century"/>
          <w:strike/>
          <w:sz w:val="22"/>
        </w:rPr>
      </w:pPr>
      <w:r w:rsidRPr="00436221">
        <w:rPr>
          <w:rFonts w:ascii="Century" w:eastAsia="ＭＳ 明朝" w:hAnsi="Century" w:hint="eastAsia"/>
          <w:sz w:val="22"/>
        </w:rPr>
        <w:t>2023</w:t>
      </w:r>
      <w:r w:rsidRPr="00436221">
        <w:rPr>
          <w:rFonts w:ascii="Century" w:eastAsia="ＭＳ 明朝" w:hAnsi="Century" w:hint="eastAsia"/>
          <w:sz w:val="22"/>
        </w:rPr>
        <w:t>年</w:t>
      </w:r>
      <w:r w:rsidRPr="00436221">
        <w:rPr>
          <w:rFonts w:ascii="Century" w:eastAsia="ＭＳ 明朝" w:hAnsi="Century" w:hint="eastAsia"/>
          <w:sz w:val="22"/>
        </w:rPr>
        <w:t>12</w:t>
      </w:r>
      <w:r w:rsidRPr="00436221">
        <w:rPr>
          <w:rFonts w:ascii="Century" w:eastAsia="ＭＳ 明朝" w:hAnsi="Century" w:hint="eastAsia"/>
          <w:sz w:val="22"/>
        </w:rPr>
        <w:t>月、</w:t>
      </w:r>
      <w:r w:rsidR="002B6DC8" w:rsidRPr="00436221">
        <w:rPr>
          <w:rFonts w:ascii="Century" w:eastAsia="ＭＳ 明朝" w:hAnsi="Century"/>
          <w:sz w:val="22"/>
        </w:rPr>
        <w:t>米兵によ</w:t>
      </w:r>
      <w:r w:rsidR="002B6DC8" w:rsidRPr="00436221">
        <w:rPr>
          <w:rFonts w:ascii="Century" w:eastAsia="ＭＳ 明朝" w:hAnsi="Century" w:hint="eastAsia"/>
          <w:sz w:val="22"/>
        </w:rPr>
        <w:t>る性暴力事件が発生</w:t>
      </w:r>
      <w:r w:rsidRPr="00436221">
        <w:rPr>
          <w:rFonts w:ascii="Century" w:eastAsia="ＭＳ 明朝" w:hAnsi="Century" w:hint="eastAsia"/>
          <w:sz w:val="22"/>
        </w:rPr>
        <w:t>しました</w:t>
      </w:r>
      <w:r w:rsidR="005228C5" w:rsidRPr="00436221">
        <w:rPr>
          <w:rFonts w:ascii="Century" w:eastAsia="ＭＳ 明朝" w:hAnsi="Century" w:hint="eastAsia"/>
          <w:sz w:val="22"/>
        </w:rPr>
        <w:t>が、</w:t>
      </w:r>
      <w:r w:rsidR="005228C5" w:rsidRPr="00436221">
        <w:rPr>
          <w:rFonts w:ascii="Century" w:eastAsia="ＭＳ 明朝" w:hAnsi="Century" w:hint="eastAsia"/>
          <w:sz w:val="22"/>
        </w:rPr>
        <w:t>6</w:t>
      </w:r>
      <w:r w:rsidR="005228C5" w:rsidRPr="00436221">
        <w:rPr>
          <w:rFonts w:ascii="Century" w:eastAsia="ＭＳ 明朝" w:hAnsi="Century" w:hint="eastAsia"/>
          <w:sz w:val="22"/>
        </w:rPr>
        <w:t>月</w:t>
      </w:r>
      <w:r w:rsidR="00EF6DFF">
        <w:rPr>
          <w:rFonts w:ascii="Century" w:eastAsia="ＭＳ 明朝" w:hAnsi="Century" w:hint="eastAsia"/>
          <w:sz w:val="22"/>
        </w:rPr>
        <w:t>に地元紙が報道するまで</w:t>
      </w:r>
      <w:r w:rsidR="005228C5" w:rsidRPr="00436221">
        <w:rPr>
          <w:rFonts w:ascii="Century" w:eastAsia="ＭＳ 明朝" w:hAnsi="Century" w:hint="eastAsia"/>
          <w:sz w:val="22"/>
        </w:rPr>
        <w:t>隠蔽されていました。</w:t>
      </w:r>
      <w:r w:rsidR="002B6DC8" w:rsidRPr="00436221">
        <w:rPr>
          <w:rFonts w:ascii="Century" w:eastAsia="ＭＳ 明朝" w:hAnsi="Century" w:hint="eastAsia"/>
          <w:sz w:val="22"/>
        </w:rPr>
        <w:t>日本側に捜査権が</w:t>
      </w:r>
      <w:r w:rsidRPr="00436221">
        <w:rPr>
          <w:rFonts w:ascii="Century" w:eastAsia="ＭＳ 明朝" w:hAnsi="Century" w:hint="eastAsia"/>
          <w:sz w:val="22"/>
        </w:rPr>
        <w:t>あ</w:t>
      </w:r>
      <w:r w:rsidR="002B6DC8" w:rsidRPr="00436221">
        <w:rPr>
          <w:rFonts w:ascii="Century" w:eastAsia="ＭＳ 明朝" w:hAnsi="Century" w:hint="eastAsia"/>
          <w:sz w:val="22"/>
        </w:rPr>
        <w:t>ったにも</w:t>
      </w:r>
      <w:r w:rsidRPr="00436221">
        <w:rPr>
          <w:rFonts w:ascii="Century" w:eastAsia="ＭＳ 明朝" w:hAnsi="Century" w:hint="eastAsia"/>
          <w:sz w:val="22"/>
        </w:rPr>
        <w:t>かかわらず</w:t>
      </w:r>
      <w:r w:rsidR="002B6DC8" w:rsidRPr="00436221">
        <w:rPr>
          <w:rFonts w:ascii="Century" w:eastAsia="ＭＳ 明朝" w:hAnsi="Century" w:hint="eastAsia"/>
          <w:sz w:val="22"/>
        </w:rPr>
        <w:t>行使せず、米軍側に渡してしまうなど、およそ主権国家とは思えない対応をしていました。</w:t>
      </w:r>
    </w:p>
    <w:p w14:paraId="11A38737" w14:textId="7A553E90" w:rsidR="006F4CD2" w:rsidRPr="00436221" w:rsidRDefault="00083937" w:rsidP="00083937">
      <w:pPr>
        <w:ind w:firstLineChars="100" w:firstLine="220"/>
        <w:rPr>
          <w:rFonts w:ascii="Century" w:eastAsia="ＭＳ 明朝" w:hAnsi="Century"/>
          <w:sz w:val="22"/>
        </w:rPr>
      </w:pPr>
      <w:r w:rsidRPr="00436221">
        <w:rPr>
          <w:rFonts w:ascii="Century" w:eastAsia="ＭＳ 明朝" w:hAnsi="Century" w:hint="eastAsia"/>
          <w:sz w:val="22"/>
        </w:rPr>
        <w:t>1995</w:t>
      </w:r>
      <w:r w:rsidRPr="00436221">
        <w:rPr>
          <w:rFonts w:ascii="Century" w:eastAsia="ＭＳ 明朝" w:hAnsi="Century" w:hint="eastAsia"/>
          <w:sz w:val="22"/>
        </w:rPr>
        <w:t>年、</w:t>
      </w:r>
      <w:r w:rsidRPr="00436221">
        <w:rPr>
          <w:rFonts w:ascii="Century" w:eastAsia="ＭＳ 明朝" w:hAnsi="Century" w:hint="eastAsia"/>
          <w:sz w:val="22"/>
        </w:rPr>
        <w:t>3</w:t>
      </w:r>
      <w:r w:rsidRPr="00436221">
        <w:rPr>
          <w:rFonts w:ascii="Century" w:eastAsia="ＭＳ 明朝" w:hAnsi="Century" w:hint="eastAsia"/>
          <w:sz w:val="22"/>
        </w:rPr>
        <w:t>人の米海兵隊が</w:t>
      </w:r>
      <w:r w:rsidRPr="00436221">
        <w:rPr>
          <w:rFonts w:ascii="Century" w:eastAsia="ＭＳ 明朝" w:hAnsi="Century" w:hint="eastAsia"/>
          <w:sz w:val="22"/>
        </w:rPr>
        <w:t>12</w:t>
      </w:r>
      <w:r w:rsidRPr="00436221">
        <w:rPr>
          <w:rFonts w:ascii="Century" w:eastAsia="ＭＳ 明朝" w:hAnsi="Century" w:hint="eastAsia"/>
          <w:sz w:val="22"/>
        </w:rPr>
        <w:t>歳の少女を暴行した事件</w:t>
      </w:r>
      <w:r w:rsidR="00BB0D45">
        <w:rPr>
          <w:rFonts w:ascii="Century" w:eastAsia="ＭＳ 明朝" w:hAnsi="Century" w:hint="eastAsia"/>
          <w:sz w:val="22"/>
        </w:rPr>
        <w:t>は、</w:t>
      </w:r>
      <w:r w:rsidRPr="00436221">
        <w:rPr>
          <w:rFonts w:ascii="Century" w:eastAsia="ＭＳ 明朝" w:hAnsi="Century" w:hint="eastAsia"/>
          <w:sz w:val="22"/>
        </w:rPr>
        <w:t>「</w:t>
      </w:r>
      <w:r w:rsidR="002B6DC8" w:rsidRPr="00436221">
        <w:rPr>
          <w:rFonts w:ascii="Century" w:eastAsia="ＭＳ 明朝" w:hAnsi="Century" w:hint="eastAsia"/>
          <w:sz w:val="22"/>
        </w:rPr>
        <w:t>怒りで島が揺れた」というほど</w:t>
      </w:r>
      <w:r w:rsidRPr="00436221">
        <w:rPr>
          <w:rFonts w:ascii="Century" w:eastAsia="ＭＳ 明朝" w:hAnsi="Century" w:hint="eastAsia"/>
          <w:sz w:val="22"/>
        </w:rPr>
        <w:t>の抗議行動となり、県民大会には</w:t>
      </w:r>
      <w:r w:rsidRPr="00436221">
        <w:rPr>
          <w:rFonts w:ascii="Century" w:eastAsia="ＭＳ 明朝" w:hAnsi="Century" w:hint="eastAsia"/>
          <w:sz w:val="22"/>
        </w:rPr>
        <w:t>8</w:t>
      </w:r>
      <w:r w:rsidR="002B6DC8" w:rsidRPr="00436221">
        <w:rPr>
          <w:rFonts w:ascii="Century" w:eastAsia="ＭＳ 明朝" w:hAnsi="Century" w:hint="eastAsia"/>
          <w:sz w:val="22"/>
        </w:rPr>
        <w:t>万</w:t>
      </w:r>
      <w:r w:rsidRPr="00436221">
        <w:rPr>
          <w:rFonts w:ascii="Century" w:eastAsia="ＭＳ 明朝" w:hAnsi="Century" w:hint="eastAsia"/>
          <w:sz w:val="22"/>
        </w:rPr>
        <w:t>5</w:t>
      </w:r>
      <w:r w:rsidR="002B6DC8" w:rsidRPr="00436221">
        <w:rPr>
          <w:rFonts w:ascii="Century" w:eastAsia="ＭＳ 明朝" w:hAnsi="Century" w:hint="eastAsia"/>
          <w:sz w:val="22"/>
        </w:rPr>
        <w:t>千人</w:t>
      </w:r>
      <w:r w:rsidRPr="00436221">
        <w:rPr>
          <w:rFonts w:ascii="Century" w:eastAsia="ＭＳ 明朝" w:hAnsi="Century" w:hint="eastAsia"/>
          <w:sz w:val="22"/>
        </w:rPr>
        <w:t>が</w:t>
      </w:r>
      <w:r w:rsidR="005228C5" w:rsidRPr="00436221">
        <w:rPr>
          <w:rFonts w:ascii="Century" w:eastAsia="ＭＳ 明朝" w:hAnsi="Century" w:hint="eastAsia"/>
          <w:sz w:val="22"/>
        </w:rPr>
        <w:t>結集し</w:t>
      </w:r>
      <w:r w:rsidR="002B067E" w:rsidRPr="00436221">
        <w:rPr>
          <w:rFonts w:ascii="Century" w:eastAsia="ＭＳ 明朝" w:hAnsi="Century" w:hint="eastAsia"/>
          <w:sz w:val="22"/>
        </w:rPr>
        <w:t>ました</w:t>
      </w:r>
      <w:r w:rsidRPr="00436221">
        <w:rPr>
          <w:rFonts w:ascii="Century" w:eastAsia="ＭＳ 明朝" w:hAnsi="Century" w:hint="eastAsia"/>
          <w:sz w:val="22"/>
        </w:rPr>
        <w:t>。県民の大きな怒りに、日米両政府は</w:t>
      </w:r>
      <w:r w:rsidRPr="00436221">
        <w:rPr>
          <w:rFonts w:ascii="Century" w:eastAsia="ＭＳ 明朝" w:hAnsi="Century" w:hint="eastAsia"/>
          <w:sz w:val="22"/>
        </w:rPr>
        <w:t>1997</w:t>
      </w:r>
      <w:r w:rsidRPr="00436221">
        <w:rPr>
          <w:rFonts w:ascii="Century" w:eastAsia="ＭＳ 明朝" w:hAnsi="Century" w:hint="eastAsia"/>
          <w:sz w:val="22"/>
        </w:rPr>
        <w:t>年</w:t>
      </w:r>
      <w:r w:rsidR="002B6DC8" w:rsidRPr="00436221">
        <w:rPr>
          <w:rFonts w:ascii="Century" w:eastAsia="ＭＳ 明朝" w:hAnsi="Century" w:hint="eastAsia"/>
          <w:sz w:val="22"/>
        </w:rPr>
        <w:t>に</w:t>
      </w:r>
      <w:r w:rsidR="009F6602" w:rsidRPr="00436221">
        <w:rPr>
          <w:rFonts w:ascii="Century" w:eastAsia="ＭＳ 明朝" w:hAnsi="Century" w:hint="eastAsia"/>
          <w:sz w:val="22"/>
        </w:rPr>
        <w:t>米兵がかかわる</w:t>
      </w:r>
      <w:r w:rsidR="002B6DC8" w:rsidRPr="00436221">
        <w:rPr>
          <w:rFonts w:ascii="Century" w:eastAsia="ＭＳ 明朝" w:hAnsi="Century" w:hint="eastAsia"/>
          <w:sz w:val="22"/>
        </w:rPr>
        <w:t>事件事故の通報システム</w:t>
      </w:r>
      <w:r w:rsidR="009F6602" w:rsidRPr="00436221">
        <w:rPr>
          <w:rFonts w:ascii="Century" w:eastAsia="ＭＳ 明朝" w:hAnsi="Century" w:hint="eastAsia"/>
          <w:sz w:val="22"/>
        </w:rPr>
        <w:t>を合意していたにもかかわらず、</w:t>
      </w:r>
      <w:r w:rsidR="002B6DC8" w:rsidRPr="00436221">
        <w:rPr>
          <w:rFonts w:ascii="Century" w:eastAsia="ＭＳ 明朝" w:hAnsi="Century" w:hint="eastAsia"/>
          <w:sz w:val="22"/>
        </w:rPr>
        <w:t>今回機能していませんでした。その後の調査で</w:t>
      </w:r>
      <w:r w:rsidR="009F6602" w:rsidRPr="00436221">
        <w:rPr>
          <w:rFonts w:ascii="Century" w:eastAsia="ＭＳ 明朝" w:hAnsi="Century" w:hint="eastAsia"/>
          <w:sz w:val="22"/>
        </w:rPr>
        <w:t>、</w:t>
      </w:r>
      <w:r w:rsidR="006F4CD2" w:rsidRPr="00436221">
        <w:rPr>
          <w:rFonts w:ascii="Century" w:eastAsia="ＭＳ 明朝" w:hAnsi="Century" w:hint="eastAsia"/>
          <w:sz w:val="22"/>
        </w:rPr>
        <w:t>2023</w:t>
      </w:r>
      <w:r w:rsidR="006F4CD2" w:rsidRPr="00436221">
        <w:rPr>
          <w:rFonts w:ascii="Century" w:eastAsia="ＭＳ 明朝" w:hAnsi="Century" w:hint="eastAsia"/>
          <w:sz w:val="22"/>
        </w:rPr>
        <w:t>年以降隠蔽されていた</w:t>
      </w:r>
      <w:r w:rsidR="009F6602" w:rsidRPr="00436221">
        <w:rPr>
          <w:rFonts w:ascii="Century" w:eastAsia="ＭＳ 明朝" w:hAnsi="Century" w:hint="eastAsia"/>
          <w:sz w:val="22"/>
        </w:rPr>
        <w:t>性被害</w:t>
      </w:r>
      <w:r w:rsidR="006F4CD2" w:rsidRPr="00436221">
        <w:rPr>
          <w:rFonts w:ascii="Century" w:eastAsia="ＭＳ 明朝" w:hAnsi="Century" w:hint="eastAsia"/>
          <w:sz w:val="22"/>
        </w:rPr>
        <w:t>はこの事件を含め</w:t>
      </w:r>
      <w:r w:rsidR="006F4CD2" w:rsidRPr="00436221">
        <w:rPr>
          <w:rFonts w:ascii="Century" w:eastAsia="ＭＳ 明朝" w:hAnsi="Century" w:hint="eastAsia"/>
          <w:sz w:val="22"/>
        </w:rPr>
        <w:t>5</w:t>
      </w:r>
      <w:r w:rsidR="006F4CD2" w:rsidRPr="00436221">
        <w:rPr>
          <w:rFonts w:ascii="Century" w:eastAsia="ＭＳ 明朝" w:hAnsi="Century" w:hint="eastAsia"/>
          <w:sz w:val="22"/>
        </w:rPr>
        <w:t>件</w:t>
      </w:r>
      <w:r w:rsidR="003856E0" w:rsidRPr="00436221">
        <w:rPr>
          <w:rFonts w:ascii="Century" w:eastAsia="ＭＳ 明朝" w:hAnsi="Century" w:hint="eastAsia"/>
          <w:sz w:val="22"/>
        </w:rPr>
        <w:t>、</w:t>
      </w:r>
      <w:r w:rsidR="006F4CD2" w:rsidRPr="00436221">
        <w:rPr>
          <w:rFonts w:ascii="Century" w:eastAsia="ＭＳ 明朝" w:hAnsi="Century" w:hint="eastAsia"/>
          <w:sz w:val="22"/>
        </w:rPr>
        <w:t>沖縄だけでなく全国各地でもあったことが</w:t>
      </w:r>
      <w:r w:rsidR="002B6DC8" w:rsidRPr="00436221">
        <w:rPr>
          <w:rFonts w:ascii="Century" w:eastAsia="ＭＳ 明朝" w:hAnsi="Century" w:hint="eastAsia"/>
          <w:sz w:val="22"/>
        </w:rPr>
        <w:t>わかりました。事件とその隠蔽に対し多くの市民団体が強く抗議し</w:t>
      </w:r>
      <w:r w:rsidR="006F4CD2" w:rsidRPr="00436221">
        <w:rPr>
          <w:rFonts w:ascii="Century" w:eastAsia="ＭＳ 明朝" w:hAnsi="Century" w:hint="eastAsia"/>
          <w:sz w:val="22"/>
        </w:rPr>
        <w:t>、沖縄県議会は被害者への謝罪や日米地位協定の抜本的改定を求めた意見書を全会一致で可決し、市町村議会からも次々抗議と意見書が採択されました。</w:t>
      </w:r>
    </w:p>
    <w:p w14:paraId="050AD3B0" w14:textId="3E8BFC8C" w:rsidR="00685562" w:rsidRPr="00436221" w:rsidRDefault="009C7C4E" w:rsidP="00685562">
      <w:pPr>
        <w:ind w:firstLineChars="100" w:firstLine="220"/>
        <w:rPr>
          <w:rFonts w:ascii="Century" w:eastAsia="ＭＳ 明朝" w:hAnsi="Century"/>
          <w:sz w:val="22"/>
        </w:rPr>
      </w:pPr>
      <w:r w:rsidRPr="00436221">
        <w:rPr>
          <w:rFonts w:ascii="Century" w:eastAsia="ＭＳ 明朝" w:hAnsi="Century" w:hint="eastAsia"/>
          <w:noProof/>
          <w:sz w:val="22"/>
          <w14:ligatures w14:val="none"/>
        </w:rPr>
        <mc:AlternateContent>
          <mc:Choice Requires="aink">
            <w:drawing>
              <wp:anchor distT="0" distB="0" distL="114300" distR="114300" simplePos="0" relativeHeight="251662336" behindDoc="0" locked="0" layoutInCell="1" allowOverlap="1" wp14:anchorId="1D440AB4" wp14:editId="30EAC6C8">
                <wp:simplePos x="0" y="0"/>
                <wp:positionH relativeFrom="column">
                  <wp:posOffset>374890</wp:posOffset>
                </wp:positionH>
                <wp:positionV relativeFrom="paragraph">
                  <wp:posOffset>498395</wp:posOffset>
                </wp:positionV>
                <wp:extent cx="4320" cy="6120"/>
                <wp:effectExtent l="57150" t="38100" r="34290" b="51435"/>
                <wp:wrapNone/>
                <wp:docPr id="58493833" name="インク 9"/>
                <wp:cNvGraphicFramePr/>
                <a:graphic xmlns:a="http://schemas.openxmlformats.org/drawingml/2006/main">
                  <a:graphicData uri="http://schemas.microsoft.com/office/word/2010/wordprocessingInk">
                    <w14:contentPart bwMode="auto" r:id="rId8">
                      <w14:nvContentPartPr>
                        <w14:cNvContentPartPr/>
                      </w14:nvContentPartPr>
                      <w14:xfrm>
                        <a:off x="0" y="0"/>
                        <a:ext cx="4320" cy="612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1D440AB4" wp14:editId="30EAC6C8">
                <wp:simplePos x="0" y="0"/>
                <wp:positionH relativeFrom="column">
                  <wp:posOffset>374890</wp:posOffset>
                </wp:positionH>
                <wp:positionV relativeFrom="paragraph">
                  <wp:posOffset>498395</wp:posOffset>
                </wp:positionV>
                <wp:extent cx="4320" cy="6120"/>
                <wp:effectExtent l="57150" t="38100" r="34290" b="51435"/>
                <wp:wrapNone/>
                <wp:docPr id="58493833" name="インク 9"/>
                <wp:cNvGraphicFramePr/>
                <a:graphic xmlns:a="http://schemas.openxmlformats.org/drawingml/2006/main">
                  <a:graphicData uri="http://schemas.openxmlformats.org/drawingml/2006/picture">
                    <pic:pic xmlns:pic="http://schemas.openxmlformats.org/drawingml/2006/picture">
                      <pic:nvPicPr>
                        <pic:cNvPr id="58493833" name="インク 9"/>
                        <pic:cNvPicPr/>
                      </pic:nvPicPr>
                      <pic:blipFill>
                        <a:blip r:embed="rId9"/>
                        <a:stretch>
                          <a:fillRect/>
                        </a:stretch>
                      </pic:blipFill>
                      <pic:spPr>
                        <a:xfrm>
                          <a:off x="0" y="0"/>
                          <a:ext cx="75960" cy="437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685562" w:rsidRPr="00436221">
        <w:rPr>
          <w:rFonts w:ascii="Century" w:eastAsia="ＭＳ 明朝" w:hAnsi="Century" w:hint="eastAsia"/>
          <w:sz w:val="22"/>
        </w:rPr>
        <w:t>隠蔽されていた時期は、辺野古基地建設の代執行（</w:t>
      </w:r>
      <w:r w:rsidR="00685562" w:rsidRPr="00436221">
        <w:rPr>
          <w:rFonts w:ascii="Century" w:eastAsia="ＭＳ 明朝" w:hAnsi="Century" w:hint="eastAsia"/>
          <w:sz w:val="22"/>
        </w:rPr>
        <w:t>2023</w:t>
      </w:r>
      <w:r w:rsidR="00685562" w:rsidRPr="00436221">
        <w:rPr>
          <w:rFonts w:ascii="Century" w:eastAsia="ＭＳ 明朝" w:hAnsi="Century" w:hint="eastAsia"/>
          <w:sz w:val="22"/>
        </w:rPr>
        <w:t>年</w:t>
      </w:r>
      <w:r w:rsidR="00685562" w:rsidRPr="00436221">
        <w:rPr>
          <w:rFonts w:ascii="Century" w:eastAsia="ＭＳ 明朝" w:hAnsi="Century" w:hint="eastAsia"/>
          <w:sz w:val="22"/>
        </w:rPr>
        <w:t>12</w:t>
      </w:r>
      <w:r w:rsidR="00685562" w:rsidRPr="00436221">
        <w:rPr>
          <w:rFonts w:ascii="Century" w:eastAsia="ＭＳ 明朝" w:hAnsi="Century" w:hint="eastAsia"/>
          <w:sz w:val="22"/>
        </w:rPr>
        <w:t>月）、日米首脳会談（</w:t>
      </w:r>
      <w:r w:rsidR="00685562" w:rsidRPr="00436221">
        <w:rPr>
          <w:rFonts w:ascii="Century" w:eastAsia="ＭＳ 明朝" w:hAnsi="Century" w:hint="eastAsia"/>
          <w:sz w:val="22"/>
        </w:rPr>
        <w:t>2024</w:t>
      </w:r>
      <w:r w:rsidR="00685562" w:rsidRPr="00436221">
        <w:rPr>
          <w:rFonts w:ascii="Century" w:eastAsia="ＭＳ 明朝" w:hAnsi="Century" w:hint="eastAsia"/>
          <w:sz w:val="22"/>
        </w:rPr>
        <w:t>年</w:t>
      </w:r>
      <w:r w:rsidR="00685562" w:rsidRPr="00436221">
        <w:rPr>
          <w:rFonts w:ascii="Century" w:eastAsia="ＭＳ 明朝" w:hAnsi="Century" w:hint="eastAsia"/>
          <w:sz w:val="22"/>
        </w:rPr>
        <w:t>4</w:t>
      </w:r>
      <w:r w:rsidR="00685562" w:rsidRPr="00436221">
        <w:rPr>
          <w:rFonts w:ascii="Century" w:eastAsia="ＭＳ 明朝" w:hAnsi="Century" w:hint="eastAsia"/>
          <w:sz w:val="22"/>
        </w:rPr>
        <w:t>月）、エマニュエル駐日大使の沖縄訪問（</w:t>
      </w:r>
      <w:r w:rsidR="00685562" w:rsidRPr="00436221">
        <w:rPr>
          <w:rFonts w:ascii="Century" w:eastAsia="ＭＳ 明朝" w:hAnsi="Century" w:hint="eastAsia"/>
          <w:sz w:val="22"/>
        </w:rPr>
        <w:t>5</w:t>
      </w:r>
      <w:r w:rsidR="00685562" w:rsidRPr="00436221">
        <w:rPr>
          <w:rFonts w:ascii="Century" w:eastAsia="ＭＳ 明朝" w:hAnsi="Century" w:hint="eastAsia"/>
          <w:sz w:val="22"/>
        </w:rPr>
        <w:t>月）、沖縄県議選と沖縄慰霊の日（</w:t>
      </w:r>
      <w:r w:rsidR="00685562" w:rsidRPr="00436221">
        <w:rPr>
          <w:rFonts w:ascii="Century" w:eastAsia="ＭＳ 明朝" w:hAnsi="Century" w:hint="eastAsia"/>
          <w:sz w:val="22"/>
        </w:rPr>
        <w:t>6</w:t>
      </w:r>
      <w:r w:rsidR="00685562" w:rsidRPr="00436221">
        <w:rPr>
          <w:rFonts w:ascii="Century" w:eastAsia="ＭＳ 明朝" w:hAnsi="Century" w:hint="eastAsia"/>
          <w:sz w:val="22"/>
        </w:rPr>
        <w:t>月）と重要な行事が続きました。日本政府は性犯罪事件を政治問題にさせないために隠蔽したと言わざるを得ません。県民の命と人権を守ることよりも、日米同盟を最優先する日本政府に激しい憤りを禁じ得ません。</w:t>
      </w:r>
    </w:p>
    <w:p w14:paraId="2871F60B" w14:textId="77777777" w:rsidR="00685562" w:rsidRPr="00436221" w:rsidRDefault="00685562" w:rsidP="00685562">
      <w:pPr>
        <w:rPr>
          <w:rFonts w:ascii="Century" w:eastAsia="ＭＳ 明朝" w:hAnsi="Century"/>
          <w:sz w:val="22"/>
        </w:rPr>
      </w:pPr>
    </w:p>
    <w:p w14:paraId="1F7366FF" w14:textId="1572228C" w:rsidR="00685562" w:rsidRPr="00093016" w:rsidRDefault="00685562" w:rsidP="00685562">
      <w:pPr>
        <w:rPr>
          <w:rFonts w:ascii="ＭＳ ゴシック" w:eastAsia="ＭＳ ゴシック" w:hAnsi="ＭＳ ゴシック"/>
          <w:sz w:val="22"/>
        </w:rPr>
      </w:pPr>
      <w:r w:rsidRPr="00093016">
        <w:rPr>
          <w:rFonts w:ascii="ＭＳ ゴシック" w:eastAsia="ＭＳ ゴシック" w:hAnsi="ＭＳ ゴシック" w:hint="eastAsia"/>
          <w:sz w:val="22"/>
        </w:rPr>
        <w:t>人権侵害から</w:t>
      </w:r>
      <w:r w:rsidR="003856E0" w:rsidRPr="00093016">
        <w:rPr>
          <w:rFonts w:ascii="ＭＳ ゴシック" w:eastAsia="ＭＳ ゴシック" w:hAnsi="ＭＳ ゴシック" w:hint="eastAsia"/>
          <w:sz w:val="22"/>
        </w:rPr>
        <w:t>住民</w:t>
      </w:r>
      <w:r w:rsidRPr="00093016">
        <w:rPr>
          <w:rFonts w:ascii="ＭＳ ゴシック" w:eastAsia="ＭＳ ゴシック" w:hAnsi="ＭＳ ゴシック" w:hint="eastAsia"/>
          <w:sz w:val="22"/>
        </w:rPr>
        <w:t>を守る手立てを</w:t>
      </w:r>
    </w:p>
    <w:p w14:paraId="6304AAD0" w14:textId="4AE8A354" w:rsidR="002B067E" w:rsidRPr="00436221" w:rsidRDefault="00685562" w:rsidP="00685562">
      <w:pPr>
        <w:rPr>
          <w:rFonts w:ascii="Century" w:eastAsia="ＭＳ 明朝" w:hAnsi="Century"/>
          <w:sz w:val="22"/>
        </w:rPr>
      </w:pPr>
      <w:r w:rsidRPr="00436221">
        <w:rPr>
          <w:rFonts w:ascii="ＭＳ ゴシック" w:eastAsia="ＭＳ ゴシック" w:hAnsi="ＭＳ ゴシック" w:hint="eastAsia"/>
          <w:sz w:val="22"/>
        </w:rPr>
        <w:t xml:space="preserve">　</w:t>
      </w:r>
      <w:r w:rsidRPr="00436221">
        <w:rPr>
          <w:rFonts w:ascii="Century" w:eastAsia="ＭＳ 明朝" w:hAnsi="Century" w:hint="eastAsia"/>
          <w:sz w:val="22"/>
        </w:rPr>
        <w:t>新婦人沖縄県本部は</w:t>
      </w:r>
      <w:r w:rsidR="002B067E" w:rsidRPr="00436221">
        <w:rPr>
          <w:rFonts w:ascii="Century" w:eastAsia="ＭＳ 明朝" w:hAnsi="Century" w:hint="eastAsia"/>
          <w:sz w:val="22"/>
        </w:rPr>
        <w:t>7</w:t>
      </w:r>
      <w:r w:rsidR="002B067E" w:rsidRPr="00436221">
        <w:rPr>
          <w:rFonts w:ascii="Century" w:eastAsia="ＭＳ 明朝" w:hAnsi="Century" w:hint="eastAsia"/>
          <w:sz w:val="22"/>
        </w:rPr>
        <w:t>月</w:t>
      </w:r>
      <w:r w:rsidR="002B067E" w:rsidRPr="00436221">
        <w:rPr>
          <w:rFonts w:ascii="Century" w:eastAsia="ＭＳ 明朝" w:hAnsi="Century" w:hint="eastAsia"/>
          <w:sz w:val="22"/>
        </w:rPr>
        <w:t>12</w:t>
      </w:r>
      <w:r w:rsidR="002B067E" w:rsidRPr="00436221">
        <w:rPr>
          <w:rFonts w:ascii="Century" w:eastAsia="ＭＳ 明朝" w:hAnsi="Century" w:hint="eastAsia"/>
          <w:sz w:val="22"/>
        </w:rPr>
        <w:t>日に上京し、外務省に直接抗議と要請をおこないました。要請したのは以下の点です。</w:t>
      </w:r>
    </w:p>
    <w:p w14:paraId="1334A791" w14:textId="77777777"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・被害者への謝罪及びプライバシー保護・心のケアをおこなうこと。</w:t>
      </w:r>
    </w:p>
    <w:p w14:paraId="460C8DB6" w14:textId="77777777"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・加害者を厳重に処罰すること。</w:t>
      </w:r>
    </w:p>
    <w:p w14:paraId="187EF798" w14:textId="77777777"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・本件に関して沖縄県に情報伝達しなかったことの説明をおこなうこと。</w:t>
      </w:r>
    </w:p>
    <w:p w14:paraId="74702A95" w14:textId="77777777"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・性犯罪など重大事件の場合、ただちに被疑者の引き渡しを要請すること。</w:t>
      </w:r>
    </w:p>
    <w:p w14:paraId="6D8B6D2E" w14:textId="77777777"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・日米地位協定の抜本的改正を早急におこなうこと。</w:t>
      </w:r>
    </w:p>
    <w:p w14:paraId="3C89C5B9" w14:textId="7717C374" w:rsidR="002B067E" w:rsidRPr="00436221" w:rsidRDefault="002B067E" w:rsidP="002B067E">
      <w:pPr>
        <w:ind w:firstLineChars="100" w:firstLine="220"/>
        <w:rPr>
          <w:rFonts w:ascii="Century" w:eastAsia="ＭＳ 明朝" w:hAnsi="Century"/>
          <w:sz w:val="22"/>
        </w:rPr>
      </w:pPr>
      <w:r w:rsidRPr="00436221">
        <w:rPr>
          <w:rFonts w:ascii="Century" w:eastAsia="ＭＳ 明朝" w:hAnsi="Century" w:hint="eastAsia"/>
          <w:sz w:val="22"/>
        </w:rPr>
        <w:t>応対した外務省北米局の参事官は、アメリカに謝罪を求めないのは「裁判中で『推定無罪』」と述べ、要請に対してはまったくこたえませんでした。</w:t>
      </w:r>
    </w:p>
    <w:p w14:paraId="72CF8760" w14:textId="40E520C6" w:rsidR="002F67E9" w:rsidRPr="00436221" w:rsidRDefault="001C2BA5" w:rsidP="002F67E9">
      <w:pPr>
        <w:ind w:firstLineChars="100" w:firstLine="220"/>
        <w:rPr>
          <w:rFonts w:ascii="Century" w:eastAsia="ＭＳ 明朝" w:hAnsi="Century"/>
          <w:sz w:val="22"/>
        </w:rPr>
      </w:pPr>
      <w:r w:rsidRPr="00436221">
        <w:rPr>
          <w:rFonts w:ascii="Century" w:eastAsia="ＭＳ 明朝" w:hAnsi="Century" w:hint="eastAsia"/>
          <w:sz w:val="22"/>
        </w:rPr>
        <w:t>米兵による事件・事故が起こるたび、日本政府は米側に綱紀粛正と再発防止を申し入れていると言いますが、</w:t>
      </w:r>
      <w:r w:rsidR="00A67FE9" w:rsidRPr="00436221">
        <w:rPr>
          <w:rFonts w:ascii="Century" w:eastAsia="ＭＳ 明朝" w:hAnsi="Century" w:hint="eastAsia"/>
          <w:sz w:val="22"/>
        </w:rPr>
        <w:t>この</w:t>
      </w:r>
      <w:r w:rsidR="00A67FE9" w:rsidRPr="00436221">
        <w:rPr>
          <w:rFonts w:ascii="Century" w:eastAsia="ＭＳ 明朝" w:hAnsi="Century" w:hint="eastAsia"/>
          <w:sz w:val="22"/>
        </w:rPr>
        <w:t>10</w:t>
      </w:r>
      <w:r w:rsidR="00A67FE9" w:rsidRPr="00436221">
        <w:rPr>
          <w:rFonts w:ascii="Century" w:eastAsia="ＭＳ 明朝" w:hAnsi="Century" w:hint="eastAsia"/>
          <w:sz w:val="22"/>
        </w:rPr>
        <w:t>年間も</w:t>
      </w:r>
      <w:r w:rsidR="007A6246" w:rsidRPr="00436221">
        <w:rPr>
          <w:rFonts w:ascii="Century" w:eastAsia="ＭＳ 明朝" w:hAnsi="Century" w:hint="eastAsia"/>
          <w:sz w:val="22"/>
        </w:rPr>
        <w:t>さらに</w:t>
      </w:r>
      <w:r w:rsidR="00A67FE9" w:rsidRPr="00436221">
        <w:rPr>
          <w:rFonts w:ascii="Century" w:eastAsia="ＭＳ 明朝" w:hAnsi="Century" w:hint="eastAsia"/>
          <w:sz w:val="22"/>
        </w:rPr>
        <w:t>犯罪は増加し続け</w:t>
      </w:r>
      <w:r w:rsidR="002F67E9" w:rsidRPr="00436221">
        <w:rPr>
          <w:rFonts w:ascii="Century" w:eastAsia="ＭＳ 明朝" w:hAnsi="Century" w:hint="eastAsia"/>
          <w:sz w:val="22"/>
        </w:rPr>
        <w:t>、警察庁の統計で</w:t>
      </w:r>
      <w:r w:rsidR="002F67E9" w:rsidRPr="00436221">
        <w:rPr>
          <w:rFonts w:ascii="Century" w:eastAsia="ＭＳ 明朝" w:hAnsi="Century" w:hint="eastAsia"/>
          <w:sz w:val="22"/>
        </w:rPr>
        <w:t>2023</w:t>
      </w:r>
      <w:r w:rsidR="002F67E9" w:rsidRPr="00436221">
        <w:rPr>
          <w:rFonts w:ascii="Century" w:eastAsia="ＭＳ 明朝" w:hAnsi="Century" w:hint="eastAsia"/>
          <w:sz w:val="22"/>
        </w:rPr>
        <w:t>年の米軍関係者によ</w:t>
      </w:r>
      <w:r w:rsidR="002F67E9" w:rsidRPr="00436221">
        <w:rPr>
          <w:rFonts w:ascii="Century" w:eastAsia="ＭＳ 明朝" w:hAnsi="Century" w:hint="eastAsia"/>
          <w:sz w:val="22"/>
        </w:rPr>
        <w:lastRenderedPageBreak/>
        <w:t>る刑法犯の摘発件数は全国</w:t>
      </w:r>
      <w:r w:rsidR="002F67E9" w:rsidRPr="00436221">
        <w:rPr>
          <w:rFonts w:ascii="Century" w:eastAsia="ＭＳ 明朝" w:hAnsi="Century" w:hint="eastAsia"/>
          <w:sz w:val="22"/>
        </w:rPr>
        <w:t>118</w:t>
      </w:r>
      <w:r w:rsidR="002F67E9" w:rsidRPr="00436221">
        <w:rPr>
          <w:rFonts w:ascii="Century" w:eastAsia="ＭＳ 明朝" w:hAnsi="Century" w:hint="eastAsia"/>
          <w:sz w:val="22"/>
        </w:rPr>
        <w:t>件、うち沖縄県</w:t>
      </w:r>
      <w:r w:rsidR="002F67E9" w:rsidRPr="00436221">
        <w:rPr>
          <w:rFonts w:ascii="Century" w:eastAsia="ＭＳ 明朝" w:hAnsi="Century" w:hint="eastAsia"/>
          <w:sz w:val="22"/>
        </w:rPr>
        <w:t>72</w:t>
      </w:r>
      <w:r w:rsidR="002F67E9" w:rsidRPr="00436221">
        <w:rPr>
          <w:rFonts w:ascii="Century" w:eastAsia="ＭＳ 明朝" w:hAnsi="Century" w:hint="eastAsia"/>
          <w:sz w:val="22"/>
        </w:rPr>
        <w:t>件で過去最多を記録しています。</w:t>
      </w:r>
    </w:p>
    <w:p w14:paraId="191D351C" w14:textId="4CE3B515" w:rsidR="00D95B51" w:rsidRPr="00436221" w:rsidRDefault="00D95B51" w:rsidP="001C2BA5">
      <w:pPr>
        <w:ind w:firstLineChars="100" w:firstLine="220"/>
        <w:rPr>
          <w:rFonts w:ascii="Century" w:eastAsia="ＭＳ 明朝" w:hAnsi="Century"/>
          <w:sz w:val="22"/>
        </w:rPr>
      </w:pPr>
      <w:r w:rsidRPr="00436221">
        <w:rPr>
          <w:rFonts w:ascii="Century" w:eastAsia="ＭＳ 明朝" w:hAnsi="Century" w:hint="eastAsia"/>
          <w:sz w:val="22"/>
        </w:rPr>
        <w:t>日米地位協定</w:t>
      </w:r>
      <w:r w:rsidR="00457ADA" w:rsidRPr="00436221">
        <w:rPr>
          <w:rFonts w:ascii="Century" w:eastAsia="ＭＳ 明朝" w:hAnsi="Century" w:hint="eastAsia"/>
          <w:sz w:val="22"/>
        </w:rPr>
        <w:t>のもとでは</w:t>
      </w:r>
      <w:r w:rsidRPr="00436221">
        <w:rPr>
          <w:rFonts w:ascii="Century" w:eastAsia="ＭＳ 明朝" w:hAnsi="Century" w:hint="eastAsia"/>
          <w:sz w:val="22"/>
        </w:rPr>
        <w:t>、原則として米軍に日本の国内法が適用されず</w:t>
      </w:r>
      <w:r w:rsidR="00457ADA" w:rsidRPr="00436221">
        <w:rPr>
          <w:rFonts w:ascii="Century" w:eastAsia="ＭＳ 明朝" w:hAnsi="Century" w:hint="eastAsia"/>
          <w:sz w:val="22"/>
        </w:rPr>
        <w:t>、</w:t>
      </w:r>
      <w:r w:rsidR="00A67FE9" w:rsidRPr="00436221">
        <w:rPr>
          <w:rFonts w:ascii="Century" w:eastAsia="ＭＳ 明朝" w:hAnsi="Century" w:hint="eastAsia"/>
          <w:sz w:val="22"/>
        </w:rPr>
        <w:t>犯罪も環境汚染も</w:t>
      </w:r>
      <w:r w:rsidR="007A6246" w:rsidRPr="00436221">
        <w:rPr>
          <w:rFonts w:ascii="Century" w:eastAsia="ＭＳ 明朝" w:hAnsi="Century" w:hint="eastAsia"/>
          <w:sz w:val="22"/>
        </w:rPr>
        <w:t>人権侵害が横行しています。</w:t>
      </w:r>
      <w:r w:rsidR="00457ADA" w:rsidRPr="00436221">
        <w:rPr>
          <w:rFonts w:ascii="Century" w:eastAsia="ＭＳ 明朝" w:hAnsi="Century" w:hint="eastAsia"/>
          <w:sz w:val="22"/>
        </w:rPr>
        <w:t>アメリカと軍事同盟を結ぶ</w:t>
      </w:r>
      <w:r w:rsidR="007A6246" w:rsidRPr="00436221">
        <w:rPr>
          <w:rFonts w:ascii="Century" w:eastAsia="ＭＳ 明朝" w:hAnsi="Century" w:hint="eastAsia"/>
          <w:sz w:val="22"/>
        </w:rPr>
        <w:t>他国では</w:t>
      </w:r>
      <w:r w:rsidR="00457ADA" w:rsidRPr="00436221">
        <w:rPr>
          <w:rFonts w:ascii="Century" w:eastAsia="ＭＳ 明朝" w:hAnsi="Century" w:hint="eastAsia"/>
          <w:sz w:val="22"/>
        </w:rPr>
        <w:t>国内法が原則適用です。</w:t>
      </w:r>
      <w:r w:rsidR="00B34280" w:rsidRPr="00436221">
        <w:rPr>
          <w:rFonts w:ascii="Century" w:eastAsia="ＭＳ 明朝" w:hAnsi="Century" w:hint="eastAsia"/>
          <w:sz w:val="22"/>
        </w:rPr>
        <w:t>沖縄県の玉城デニー知事は、日本は</w:t>
      </w:r>
      <w:r w:rsidR="00457ADA" w:rsidRPr="00436221">
        <w:rPr>
          <w:rFonts w:ascii="Century" w:eastAsia="ＭＳ 明朝" w:hAnsi="Century" w:hint="eastAsia"/>
          <w:sz w:val="22"/>
        </w:rPr>
        <w:t>主権</w:t>
      </w:r>
      <w:r w:rsidR="00B34280" w:rsidRPr="00436221">
        <w:rPr>
          <w:rFonts w:ascii="Century" w:eastAsia="ＭＳ 明朝" w:hAnsi="Century" w:hint="eastAsia"/>
          <w:sz w:val="22"/>
        </w:rPr>
        <w:t>を</w:t>
      </w:r>
      <w:r w:rsidR="00457ADA" w:rsidRPr="00436221">
        <w:rPr>
          <w:rFonts w:ascii="Century" w:eastAsia="ＭＳ 明朝" w:hAnsi="Century" w:hint="eastAsia"/>
          <w:sz w:val="22"/>
        </w:rPr>
        <w:t>放棄</w:t>
      </w:r>
      <w:r w:rsidR="00B34280" w:rsidRPr="00436221">
        <w:rPr>
          <w:rFonts w:ascii="Century" w:eastAsia="ＭＳ 明朝" w:hAnsi="Century" w:hint="eastAsia"/>
          <w:sz w:val="22"/>
        </w:rPr>
        <w:t>しているとも言うべき状況だと批判しています。</w:t>
      </w:r>
    </w:p>
    <w:p w14:paraId="12D7C3F4" w14:textId="77777777" w:rsidR="00EF6DFF" w:rsidRDefault="001C2BA5" w:rsidP="001C2BA5">
      <w:pPr>
        <w:ind w:firstLineChars="100" w:firstLine="220"/>
        <w:rPr>
          <w:rFonts w:ascii="Century" w:eastAsia="ＭＳ 明朝" w:hAnsi="Century"/>
          <w:sz w:val="22"/>
        </w:rPr>
      </w:pPr>
      <w:r w:rsidRPr="00436221">
        <w:rPr>
          <w:rFonts w:ascii="Century" w:eastAsia="ＭＳ 明朝" w:hAnsi="Century" w:hint="eastAsia"/>
          <w:sz w:val="22"/>
        </w:rPr>
        <w:t>政府が台湾有事や</w:t>
      </w:r>
      <w:r w:rsidR="002B6DC8" w:rsidRPr="00436221">
        <w:rPr>
          <w:rFonts w:ascii="Century" w:eastAsia="ＭＳ 明朝" w:hAnsi="Century" w:hint="eastAsia"/>
          <w:sz w:val="22"/>
        </w:rPr>
        <w:t>中国脅威</w:t>
      </w:r>
      <w:r w:rsidRPr="00436221">
        <w:rPr>
          <w:rFonts w:ascii="Century" w:eastAsia="ＭＳ 明朝" w:hAnsi="Century" w:hint="eastAsia"/>
          <w:sz w:val="22"/>
        </w:rPr>
        <w:t>を口実に</w:t>
      </w:r>
      <w:r w:rsidR="00B34280" w:rsidRPr="00436221">
        <w:rPr>
          <w:rFonts w:ascii="Century" w:eastAsia="ＭＳ 明朝" w:hAnsi="Century" w:hint="eastAsia"/>
          <w:sz w:val="22"/>
        </w:rPr>
        <w:t>南西諸島の軍事化や基地強化をすすめるもとで、米兵による性犯罪の増大が懸念されます。政府は、性暴力を人権の問題として認識し、女性と少女を守るための対策をとるべきです。</w:t>
      </w:r>
    </w:p>
    <w:p w14:paraId="4B5872E0" w14:textId="068532A8" w:rsidR="00B34280" w:rsidRPr="00436221" w:rsidRDefault="00EF6DFF" w:rsidP="001C2BA5">
      <w:pPr>
        <w:ind w:firstLineChars="100" w:firstLine="220"/>
        <w:rPr>
          <w:rFonts w:ascii="Century" w:eastAsia="ＭＳ 明朝" w:hAnsi="Century"/>
          <w:sz w:val="22"/>
        </w:rPr>
      </w:pPr>
      <w:r>
        <w:rPr>
          <w:rFonts w:ascii="Century" w:eastAsia="ＭＳ 明朝" w:hAnsi="Century" w:hint="eastAsia"/>
          <w:sz w:val="22"/>
        </w:rPr>
        <w:t>女性差別撤廃委員会による第</w:t>
      </w:r>
      <w:r>
        <w:rPr>
          <w:rFonts w:ascii="Century" w:eastAsia="ＭＳ 明朝" w:hAnsi="Century" w:hint="eastAsia"/>
          <w:sz w:val="22"/>
        </w:rPr>
        <w:t>9</w:t>
      </w:r>
      <w:r>
        <w:rPr>
          <w:rFonts w:ascii="Century" w:eastAsia="ＭＳ 明朝" w:hAnsi="Century" w:hint="eastAsia"/>
          <w:sz w:val="22"/>
        </w:rPr>
        <w:t>次日本報告審議にあたり、新日本婦人の会は</w:t>
      </w:r>
      <w:r w:rsidR="00B34280" w:rsidRPr="00436221">
        <w:rPr>
          <w:rFonts w:ascii="Century" w:eastAsia="ＭＳ 明朝" w:hAnsi="Century" w:hint="eastAsia"/>
          <w:sz w:val="22"/>
        </w:rPr>
        <w:t>以下のことを求めます。</w:t>
      </w:r>
    </w:p>
    <w:p w14:paraId="2C993D11" w14:textId="7BABBD2C" w:rsidR="00083937" w:rsidRPr="00436221" w:rsidRDefault="00E95F89" w:rsidP="00B34280">
      <w:pPr>
        <w:ind w:firstLineChars="100" w:firstLine="220"/>
        <w:rPr>
          <w:rFonts w:ascii="Century" w:eastAsia="ＭＳ 明朝" w:hAnsi="Century"/>
          <w:sz w:val="22"/>
          <w14:ligatures w14:val="none"/>
        </w:rPr>
      </w:pPr>
      <w:r>
        <w:rPr>
          <w:rFonts w:ascii="Century" w:eastAsia="ＭＳ 明朝" w:hAnsi="Century" w:hint="eastAsia"/>
          <w:sz w:val="22"/>
          <w14:ligatures w14:val="none"/>
        </w:rPr>
        <w:t xml:space="preserve">- </w:t>
      </w:r>
      <w:r w:rsidR="00083937" w:rsidRPr="00436221">
        <w:rPr>
          <w:rFonts w:ascii="Century" w:eastAsia="ＭＳ 明朝" w:hAnsi="Century" w:hint="eastAsia"/>
          <w:sz w:val="22"/>
          <w14:ligatures w14:val="none"/>
        </w:rPr>
        <w:t>米兵による性犯罪の根絶へ、通報手続きを厳守するとともに、日米地位協定の抜本的改定、米軍基地の縮小・撤去、日米安保条約廃棄へとすすむこと。</w:t>
      </w:r>
    </w:p>
    <w:p w14:paraId="75CEE5C4" w14:textId="77777777" w:rsidR="004670FC" w:rsidRPr="00436221" w:rsidRDefault="004670FC" w:rsidP="004670FC"/>
    <w:p w14:paraId="7ABEE24C" w14:textId="77777777" w:rsidR="009C7C4E" w:rsidRPr="00436221" w:rsidRDefault="009C7C4E" w:rsidP="004670FC"/>
    <w:sectPr w:rsidR="009C7C4E" w:rsidRPr="00436221" w:rsidSect="006E034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72245" w14:textId="77777777" w:rsidR="00F34C91" w:rsidRDefault="00F34C91" w:rsidP="006569D9">
      <w:r>
        <w:separator/>
      </w:r>
    </w:p>
  </w:endnote>
  <w:endnote w:type="continuationSeparator" w:id="0">
    <w:p w14:paraId="3BCE7294" w14:textId="77777777" w:rsidR="00F34C91" w:rsidRDefault="00F34C91" w:rsidP="0065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C31D" w14:textId="77777777" w:rsidR="00F34C91" w:rsidRDefault="00F34C91" w:rsidP="006569D9">
      <w:r>
        <w:separator/>
      </w:r>
    </w:p>
  </w:footnote>
  <w:footnote w:type="continuationSeparator" w:id="0">
    <w:p w14:paraId="52AD11CE" w14:textId="77777777" w:rsidR="00F34C91" w:rsidRDefault="00F34C91" w:rsidP="0065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92"/>
    <w:rsid w:val="00080C9A"/>
    <w:rsid w:val="00083937"/>
    <w:rsid w:val="00093016"/>
    <w:rsid w:val="000B5514"/>
    <w:rsid w:val="000C0792"/>
    <w:rsid w:val="000C2F80"/>
    <w:rsid w:val="000D32CD"/>
    <w:rsid w:val="00183E9B"/>
    <w:rsid w:val="001C2BA5"/>
    <w:rsid w:val="00220D4C"/>
    <w:rsid w:val="00234706"/>
    <w:rsid w:val="002B067E"/>
    <w:rsid w:val="002B6DC8"/>
    <w:rsid w:val="002F67E9"/>
    <w:rsid w:val="00323191"/>
    <w:rsid w:val="003856E0"/>
    <w:rsid w:val="003A1502"/>
    <w:rsid w:val="003B2F14"/>
    <w:rsid w:val="003D2D42"/>
    <w:rsid w:val="00436221"/>
    <w:rsid w:val="00457ADA"/>
    <w:rsid w:val="004670FC"/>
    <w:rsid w:val="004A2D0C"/>
    <w:rsid w:val="004D52B2"/>
    <w:rsid w:val="004F4B0B"/>
    <w:rsid w:val="005228C5"/>
    <w:rsid w:val="00544798"/>
    <w:rsid w:val="0059346F"/>
    <w:rsid w:val="005B5F78"/>
    <w:rsid w:val="00617C2E"/>
    <w:rsid w:val="006569D9"/>
    <w:rsid w:val="00685562"/>
    <w:rsid w:val="006E0348"/>
    <w:rsid w:val="006E4413"/>
    <w:rsid w:val="006F4CD2"/>
    <w:rsid w:val="007503C3"/>
    <w:rsid w:val="00771980"/>
    <w:rsid w:val="007A6246"/>
    <w:rsid w:val="007D51D7"/>
    <w:rsid w:val="007F3B43"/>
    <w:rsid w:val="00890574"/>
    <w:rsid w:val="008A69A7"/>
    <w:rsid w:val="008C6BAB"/>
    <w:rsid w:val="00967CCB"/>
    <w:rsid w:val="009A73F0"/>
    <w:rsid w:val="009C7C4E"/>
    <w:rsid w:val="009E649D"/>
    <w:rsid w:val="009F6602"/>
    <w:rsid w:val="00A624B0"/>
    <w:rsid w:val="00A67FE9"/>
    <w:rsid w:val="00A84A19"/>
    <w:rsid w:val="00A87031"/>
    <w:rsid w:val="00AF2A73"/>
    <w:rsid w:val="00AF791F"/>
    <w:rsid w:val="00B21425"/>
    <w:rsid w:val="00B34280"/>
    <w:rsid w:val="00B51008"/>
    <w:rsid w:val="00B53593"/>
    <w:rsid w:val="00BB0D45"/>
    <w:rsid w:val="00C65E20"/>
    <w:rsid w:val="00D05EEA"/>
    <w:rsid w:val="00D247D8"/>
    <w:rsid w:val="00D2748D"/>
    <w:rsid w:val="00D35EAA"/>
    <w:rsid w:val="00D5063B"/>
    <w:rsid w:val="00D50B62"/>
    <w:rsid w:val="00D95B51"/>
    <w:rsid w:val="00E95F89"/>
    <w:rsid w:val="00EB2D98"/>
    <w:rsid w:val="00EC1DB6"/>
    <w:rsid w:val="00EF6DFF"/>
    <w:rsid w:val="00F34C91"/>
    <w:rsid w:val="00F7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19526"/>
  <w15:chartTrackingRefBased/>
  <w15:docId w15:val="{E02B8D87-C50E-4C3F-9120-EE988597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0FC"/>
    <w:pPr>
      <w:widowControl w:val="0"/>
      <w:jc w:val="both"/>
    </w:pPr>
    <w:rPr>
      <w:rFonts w:asciiTheme="minorHAnsi" w:eastAsiaTheme="minorEastAsia" w:hAnsiTheme="minorHAnsi"/>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9D9"/>
    <w:pPr>
      <w:tabs>
        <w:tab w:val="center" w:pos="4252"/>
        <w:tab w:val="right" w:pos="8504"/>
      </w:tabs>
      <w:snapToGrid w:val="0"/>
    </w:pPr>
  </w:style>
  <w:style w:type="character" w:customStyle="1" w:styleId="a4">
    <w:name w:val="ヘッダー (文字)"/>
    <w:basedOn w:val="a0"/>
    <w:link w:val="a3"/>
    <w:uiPriority w:val="99"/>
    <w:rsid w:val="006569D9"/>
    <w:rPr>
      <w:rFonts w:asciiTheme="minorHAnsi" w:eastAsiaTheme="minorEastAsia" w:hAnsiTheme="minorHAnsi"/>
      <w:sz w:val="21"/>
      <w14:ligatures w14:val="standardContextual"/>
    </w:rPr>
  </w:style>
  <w:style w:type="paragraph" w:styleId="a5">
    <w:name w:val="footer"/>
    <w:basedOn w:val="a"/>
    <w:link w:val="a6"/>
    <w:uiPriority w:val="99"/>
    <w:unhideWhenUsed/>
    <w:rsid w:val="006569D9"/>
    <w:pPr>
      <w:tabs>
        <w:tab w:val="center" w:pos="4252"/>
        <w:tab w:val="right" w:pos="8504"/>
      </w:tabs>
      <w:snapToGrid w:val="0"/>
    </w:pPr>
  </w:style>
  <w:style w:type="character" w:customStyle="1" w:styleId="a6">
    <w:name w:val="フッター (文字)"/>
    <w:basedOn w:val="a0"/>
    <w:link w:val="a5"/>
    <w:uiPriority w:val="99"/>
    <w:rsid w:val="006569D9"/>
    <w:rPr>
      <w:rFonts w:asciiTheme="minorHAnsi" w:eastAsiaTheme="minorEastAsia" w:hAnsiTheme="minorHAnsi"/>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06:50:44.605"/>
    </inkml:context>
    <inkml:brush xml:id="br0">
      <inkml:brushProperty name="width" value="0.1" units="cm"/>
      <inkml:brushProperty name="height" value="0.1"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6:50:01.693"/>
    </inkml:context>
    <inkml:brush xml:id="br0">
      <inkml:brushProperty name="width" value="0.2" units="cm"/>
      <inkml:brushProperty name="height" value="1.2" units="cm"/>
      <inkml:brushProperty name="color" value="#FF0066"/>
      <inkml:brushProperty name="ignorePressure" value="1"/>
      <inkml:brushProperty name="inkEffects" value="pencil"/>
    </inkml:brush>
  </inkml:definitions>
  <inkml:trace contextRef="#ctx0" brushRef="#br0">1059 1299,'0'4,"5"2,1-1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平野</dc:creator>
  <cp:keywords/>
  <dc:description/>
  <cp:lastModifiedBy>恵美子 平野</cp:lastModifiedBy>
  <cp:revision>9</cp:revision>
  <dcterms:created xsi:type="dcterms:W3CDTF">2024-10-09T09:32:00Z</dcterms:created>
  <dcterms:modified xsi:type="dcterms:W3CDTF">2024-10-11T07:47:00Z</dcterms:modified>
</cp:coreProperties>
</file>